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1E" w:rsidRPr="00136D77" w:rsidRDefault="00E12A1E" w:rsidP="00E12A1E">
      <w:pPr>
        <w:ind w:firstLine="709"/>
        <w:contextualSpacing/>
        <w:jc w:val="both"/>
        <w:rPr>
          <w:rFonts w:ascii="Times New Roman" w:hAnsi="Times New Roman"/>
          <w:b/>
          <w:szCs w:val="28"/>
        </w:rPr>
      </w:pPr>
      <w:r w:rsidRPr="00136D77">
        <w:rPr>
          <w:rFonts w:ascii="Times New Roman" w:hAnsi="Times New Roman"/>
          <w:b/>
          <w:szCs w:val="28"/>
        </w:rPr>
        <w:t>Перечень тем рефератов и научных докладов.</w:t>
      </w:r>
    </w:p>
    <w:p w:rsidR="00E12A1E" w:rsidRPr="00136D77" w:rsidRDefault="00E12A1E" w:rsidP="00E12A1E">
      <w:pPr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Направления налоговой политики Республики Казахстан на современном этапе.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Опыт налогообложения собственности в зарубежных странах.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Налоговое регулирование экономики Республики Казахстан.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Этапы реформирования налоговой системы Республики Казахстан.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Опыт личного подоходного налогообложения в зарубежных странах.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Налоговый механизм и пути его совершенствования.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Перспективы развития налоговой системы Республики  Казахстан.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Общие налоговые теории.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Частные налоговые теории.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Анализ предполагаемых изменений  по проекту НК в части налогообложения имущества.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Анализ предполагаемых изменений  по проекту НК в части обложения доходов юридических лиц.</w:t>
      </w:r>
    </w:p>
    <w:p w:rsidR="00E12A1E" w:rsidRPr="00136D77" w:rsidRDefault="00E12A1E" w:rsidP="00E12A1E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Новый налоговый кодекс: анализ  предполагаемых изменений.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3833"/>
    <w:multiLevelType w:val="singleLevel"/>
    <w:tmpl w:val="7AEEA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1E"/>
    <w:rsid w:val="00E11383"/>
    <w:rsid w:val="00E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E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E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Macintosh Word</Application>
  <DocSecurity>0</DocSecurity>
  <Lines>5</Lines>
  <Paragraphs>1</Paragraphs>
  <ScaleCrop>false</ScaleCrop>
  <Company>Dom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2020-09-27T09:30:00Z</dcterms:created>
  <dcterms:modified xsi:type="dcterms:W3CDTF">2020-09-27T09:30:00Z</dcterms:modified>
</cp:coreProperties>
</file>